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3" w:rsidRPr="00CE3506" w:rsidRDefault="00BE0A93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BE0A93" w:rsidRDefault="00BE0A93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учебной дисциплины</w:t>
      </w:r>
    </w:p>
    <w:p w:rsidR="00BE0A93" w:rsidRDefault="00BE0A93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E0A93" w:rsidRPr="005C2E9F" w:rsidRDefault="00BE0A93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аудит</w:t>
      </w:r>
    </w:p>
    <w:p w:rsidR="00BE0A93" w:rsidRDefault="00BE0A93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E0A93" w:rsidRDefault="00BE0A93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38.02.01 Экономика и бухгалтерский учет (по отраслям) (</w:t>
      </w:r>
    </w:p>
    <w:p w:rsidR="00BE0A93" w:rsidRPr="00A20A8B" w:rsidRDefault="00BE0A93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E0A93" w:rsidRPr="009A3E44" w:rsidRDefault="00BE0A93" w:rsidP="00D547D4">
      <w:pPr>
        <w:tabs>
          <w:tab w:val="left" w:pos="1000"/>
        </w:tabs>
        <w:contextualSpacing/>
        <w:jc w:val="both"/>
      </w:pPr>
      <w:r w:rsidRPr="009A3E44">
        <w:rPr>
          <w:b/>
          <w:bCs/>
        </w:rPr>
        <w:t>1.</w:t>
      </w:r>
      <w:r w:rsidRPr="009A3E44">
        <w:tab/>
      </w:r>
      <w:r w:rsidRPr="009A3E44">
        <w:rPr>
          <w:b/>
          <w:bCs/>
        </w:rPr>
        <w:t>Место дисциплины в структуре основной образовательной программы:</w:t>
      </w:r>
    </w:p>
    <w:p w:rsidR="00BE0A93" w:rsidRPr="009A3E44" w:rsidRDefault="00BE0A93" w:rsidP="00D547D4">
      <w:pPr>
        <w:contextualSpacing/>
        <w:jc w:val="both"/>
      </w:pPr>
    </w:p>
    <w:p w:rsidR="00BE0A93" w:rsidRPr="009A3E44" w:rsidRDefault="00BE0A93" w:rsidP="00D547D4">
      <w:pPr>
        <w:ind w:firstLine="709"/>
        <w:contextualSpacing/>
        <w:jc w:val="both"/>
      </w:pPr>
      <w:r w:rsidRPr="009A3E44">
        <w:t xml:space="preserve">Учебная дисциплина ОП.08 «Аудит» является обязательной частью общепрофессионального цикла примерной основной образовательной программы в соответствии с ФГОС </w:t>
      </w:r>
      <w:r w:rsidRPr="009A3E44">
        <w:rPr>
          <w:bCs/>
        </w:rPr>
        <w:t xml:space="preserve">38.02.01 «Экономика и бухгалтерский учет (по отраслям)» </w:t>
      </w:r>
      <w:r w:rsidRPr="009A3E44">
        <w:t>по специальностям бухгалтер; бухгалтер, специалист по налогообложению.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 xml:space="preserve">Учебная дисциплина ОП.08 «Аудит» обеспечивает формирование профессиональных и общих компетенций по всем видам деятельности ФГОС по специальности </w:t>
      </w:r>
      <w:r w:rsidRPr="009A3E44">
        <w:rPr>
          <w:bCs/>
        </w:rPr>
        <w:t xml:space="preserve">38.02.01 «Экономика и бухгалтерский учет (по отраслям)». </w:t>
      </w:r>
      <w:r w:rsidRPr="009A3E44">
        <w:t xml:space="preserve">Особое значение дисциплина имеет при формировании и развитии 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01. Выбирать способы решения задач профессиональной деятельности применительно к различным контекстам;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03. Планировать и реализовывать собственное профессиональное и личностное развитие;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04. Работать в коллективе и команде, эффективно взаимодействовать с коллегами, руководством, клиентами;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09. Использовать информационные технологии в профессиональной деятельности;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10. Пользоваться профессиональной документацией на государственном и иностранном языках;</w:t>
      </w:r>
    </w:p>
    <w:p w:rsidR="00BE0A93" w:rsidRPr="009A3E44" w:rsidRDefault="00BE0A93" w:rsidP="00D547D4">
      <w:pPr>
        <w:ind w:firstLine="709"/>
        <w:contextualSpacing/>
        <w:jc w:val="both"/>
      </w:pPr>
      <w:r w:rsidRPr="009A3E44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E0A93" w:rsidRPr="009A3E44" w:rsidRDefault="00BE0A93" w:rsidP="00D547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BE0A93" w:rsidRPr="009A3E44" w:rsidRDefault="00BE0A93" w:rsidP="00D547D4">
      <w:pPr>
        <w:contextualSpacing/>
        <w:jc w:val="both"/>
      </w:pPr>
    </w:p>
    <w:p w:rsidR="00BE0A93" w:rsidRPr="009A3E44" w:rsidRDefault="00BE0A93" w:rsidP="00D547D4">
      <w:pPr>
        <w:contextualSpacing/>
        <w:jc w:val="both"/>
      </w:pPr>
      <w:r w:rsidRPr="009A3E44">
        <w:rPr>
          <w:b/>
          <w:bCs/>
        </w:rPr>
        <w:t>2. Цели и планируемые результаты освоения дисциплины:</w:t>
      </w:r>
    </w:p>
    <w:p w:rsidR="00BE0A93" w:rsidRPr="009A3E44" w:rsidRDefault="00BE0A93" w:rsidP="00D547D4">
      <w:pPr>
        <w:suppressAutoHyphens/>
        <w:contextualSpacing/>
        <w:jc w:val="both"/>
      </w:pPr>
      <w:r w:rsidRPr="009A3E44">
        <w:t>В рамках программы учебной дисциплины обучающимися осваиваются умения и знания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786"/>
        <w:gridCol w:w="2734"/>
      </w:tblGrid>
      <w:tr w:rsidR="00BE0A93" w:rsidRPr="009A3E44" w:rsidTr="00FD1E96">
        <w:trPr>
          <w:trHeight w:val="649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center"/>
            </w:pPr>
            <w:r w:rsidRPr="009A3E44">
              <w:t>Код</w:t>
            </w:r>
          </w:p>
          <w:p w:rsidR="00BE0A93" w:rsidRPr="009A3E44" w:rsidRDefault="00BE0A93" w:rsidP="00FD1E96">
            <w:pPr>
              <w:suppressAutoHyphens/>
              <w:contextualSpacing/>
              <w:jc w:val="center"/>
            </w:pPr>
            <w:r w:rsidRPr="009A3E44">
              <w:t>ПК, ОК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center"/>
            </w:pPr>
            <w:r w:rsidRPr="009A3E44">
              <w:t>Умения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center"/>
            </w:pPr>
            <w:r w:rsidRPr="009A3E44">
              <w:t>Знания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1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iCs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2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3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4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5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9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10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ОК 11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1.1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highlight w:val="yellow"/>
              </w:rPr>
            </w:pPr>
            <w:r w:rsidRPr="009A3E44">
              <w:t>Обрабатывать первичные бухгалтерские документы;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проверять наличие в произвольных первичных бухгалтерских документах обязательных реквизитов;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проводить формальную проверку документов, проверку по существу, арифметическую проверку;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проводить группировку первичных бухгалтерских документов по ряду признаков;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проводить таксировку и контировку первичных бухгалтерских документов;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организовывать документооборот;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разбираться в номенклатуре дел;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заносить данные по сгруппированным документам в регистры бухгалтерского учета;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передавать первичные бухгалтерские документы в текущий бухгалтерский архив;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  <w:highlight w:val="yellow"/>
              </w:rPr>
            </w:pPr>
            <w:r w:rsidRPr="009A3E44">
              <w:t>исправлять ошибки в первичных бухгалтерских документах;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понятие первичной бухгалтерской документации;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определение первичных бухгалтерских документов;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принципы и признаки группировки первичных бухгалтерских документов;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порядок проведения таксировки и контировки первичных бухгалтерских документов;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порядок составления регистров бухгалтерского учета;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правила и сроки хранения первичной бухгалтерской документации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 xml:space="preserve">ПК 1.2. 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конструировать поэтапно рабочий план счетов бухгалтерского учета организации</w:t>
            </w:r>
          </w:p>
          <w:p w:rsidR="00BE0A93" w:rsidRPr="009A3E44" w:rsidRDefault="00BE0A93" w:rsidP="00FD1E96">
            <w:pPr>
              <w:contextualSpacing/>
              <w:jc w:val="both"/>
            </w:pP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сущность плана счетов бухгалтерского учета финансово-хозяйственной деятельности организаций;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инструкцию по применению плана счетов бухгалтерского учета;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принципы и цели разработки рабочего плана счетов бухгалтерского учета организации;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классификацию счетов бухгалтерского учета по экономическому содержанию, назначению и структуре;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1.3.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Проводить учет денежных средств, оформлять денежные и кассовые документы;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кассовых операций, денежных документов и переводов в пути;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денежных средств на расчетных и специальных счетах;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учитывать особенности учета кассовых операций в иностранной валюте и операций по валютным счетам;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оформлять денежные и кассовые документы;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заполнять кассовую книгу и отчет кассира в бухгалтерию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кассовых операций, денежных документов и переводов в пути;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денежных средств на расчетных и специальных счетах;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особенности учета кассовых операций в иностранной валюте и операций по валютным счетам;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оформления денежных и кассовых документов, заполнения кассовой книги;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правила заполнения отчета кассира в бухгалтерию;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 xml:space="preserve">ПК 1.4. 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основных средств;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нематериальных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долгосрочных инвестиций;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финансовых вложений и ценных бумаг;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материально-производственных запасов;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затрат на производство и калькулирование себестоимости;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готовой продукции и ее реализации;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текущих операций и расчетов;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труда и заработной платы;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финансовых результатов и использования прибыли;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собственного капитала;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кредитов и займов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понятие и классификацию основных средств;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оценку и переоценку основных средств;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поступления основных средств;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выбытия и аренды основных средств;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амортизации основных средств;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особенности учета арендованных и сданных в аренду основных средств;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понятие и классификацию нематериальных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поступления и выбытия нематериальных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амортизацию нематериальных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долгосрочных инвестиций;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финансовых вложений и ценных бумаг;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материально-производственных запасов: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понятие, классификацию и оценку материально-производственных запасов;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документальное оформление поступления и расхода материально-производственных запасов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материалов на складе и в бухгалтерии;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синтетический учет движения материалов;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транспортно-заготовительных расходов;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затрат на производство и калькулирование себестоимости: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систему учета производственных затрат и их классификацию;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сводный учет затрат на производство, обслуживание производства и управление;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особенности учета и распределения затрат вспомогательных производств;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потерь и непроизводственных расходов;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и оценку незавершенного производства;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калькуляцию себестоимости продукции;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характеристику готовой продукции, оценку и синтетический учет;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технологию реализации готовой продукции (работ, услуг);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выручки от реализации продукции (работ, услуг);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расходов по реализации продукции, выполнению работ и оказанию услуг;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дебиторской и кредиторской задолженности и формы расчетов;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расчетов с работниками по прочим операциям и расчетов с подотчетными лицами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 xml:space="preserve">ПК 2.1. 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рассчитывать заработную плату сотрудников;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сумму удержаний из заработной платы сотрудников;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финансовые результаты деятельности организации по основным видам деятельности;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финансовые результаты деятельности организации по прочим видам деятельности;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нераспределенной прибыли;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собственного капитала;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уставного капитала;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резервного капитала и целевого финансирования;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кредитов и займов;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удержаний из заработной платы работников;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финансовых результатов и использования прибыли;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финансовых результатов по обычным видам деятельности;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финансовых результатов по прочим видам деятельности;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нераспределенной прибыли;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собственного капитала: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уставного капитала;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резервного капитала и целевого финансирования;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кредитов и займов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 xml:space="preserve">ПК 2.2. 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цели и периодичность проведения инвентаризации;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Нормативные правовые акты, регулирующие порядок проведения инвентаризации активов и обязательств;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основные понятия инвентаризации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характеристику объектов, подлежащих инвентаризации;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цели и периодичность проведения инвентаризации имущества;</w:t>
            </w:r>
          </w:p>
          <w:p w:rsidR="00BE0A93" w:rsidRPr="00D45DFF" w:rsidRDefault="00BE0A93" w:rsidP="00FD1E96">
            <w:pPr>
              <w:contextualSpacing/>
              <w:jc w:val="both"/>
            </w:pPr>
            <w:r w:rsidRPr="009A3E44">
              <w:t>задачи и состав инвентаризационной комиссии;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2.3.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цели и периодичность проведения инвентаризации;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пользоваться специальной терминологией при проведении инвентаризации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давать характеристику активов организации;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составлять инвентаризационные описи;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физический подсчет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приемы физического подсчета активов;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инвентаризации основных средств и отражение ее результатов в бухгалтерских проводках;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инвентаризации нематериальных активов и отражение ее результатов в бухгалтерских проводках;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rPr>
                <w:b/>
              </w:rPr>
              <w:t>ПК 2.4.</w:t>
            </w:r>
            <w:r w:rsidRPr="009A3E44">
              <w:t xml:space="preserve"> 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формировать бухгалтерские проводки по списанию недостач в зависимости от причин их возникновения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формирование бухгалтерских проводок по списанию недостач в зависимости от причин их возникновения;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процедуру составления акта по результатам инвентаризации;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2.5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  <w:highlight w:val="yellow"/>
              </w:rPr>
            </w:pPr>
            <w:r w:rsidRPr="009A3E44">
              <w:t>Проводить процедуры инвентаризации финансовых обязательств организации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проводить выверку финансовых обязательств;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участвовать в инвентаризации дебиторской и кредиторской задолженности организации;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проводить инвентаризацию расчетов;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</w:rPr>
            </w:pPr>
            <w:r w:rsidRPr="009A3E44">
              <w:rPr>
                <w:iCs/>
              </w:rPr>
              <w:t>определять реальное состояние расчетов;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iCs/>
                <w:highlight w:val="yellow"/>
              </w:rPr>
            </w:pPr>
            <w:r w:rsidRPr="009A3E44">
              <w:rPr>
                <w:iCs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инвентаризации дебиторской и кредиторской задолженности организации;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инвентаризации расчетов;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технологию определения реального состояния расчетов;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инвентаризации недостач и потерь от порчи ценностей;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rPr>
                <w:b/>
              </w:rPr>
              <w:t>ПК 2.6</w:t>
            </w:r>
            <w:r w:rsidRPr="009A3E44">
              <w:t xml:space="preserve"> 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2.7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составлять акт по результатам инвентаризации;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составления инвентаризационных описей и сроки передачи их в бухгалтерию;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3.1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виды и порядок налогообложения;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ориентироваться в системе налогов Российской Федерации;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выделять элементы налогообложения;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источники уплаты налогов, сборов, пошлин;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оформлять бухгалтерскими проводками начисления и перечисления сумм налогов и сборов;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организовывать аналитический учет по счету 68 "Расчеты по налогам и сборам";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виды и порядок налогообложения;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систему налогов Российской Федерации;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элементы налогообложения;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источники уплаты налогов, сборов, пошлин;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оформление бухгалтерскими проводками начисления и перечисления сумм налогов и сборов;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аналитический учет по счету 68 "Расчеты по налогам и сборам";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3.2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заполнять платежные поручения по перечислению налогов и сборов;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выбирать для платежных поручений по видам налогов соответствующие реквизиты;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выбирать коды бюджетной классификации для определенных налогов, штрафов и пени;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заполнения платежных поручений по перечислению налогов и сборов;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коды бюджетной классификации, порядок их присвоения для налога, штрафа и пени;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образец заполнения платежных поручений по перечислению налогов, сборов и пошлин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3.3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учет расчетов по социальному страхованию и обеспечению;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учет расчетов по социальному страхованию и обеспечению;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аналитический учет по счету 69 "Расчеты по социальному страхованию";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объекты налогообложения для исчисления страховых взносов в государственные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 сроки исчисления страховых взносов в ФНС России и государственные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и сроки представления отчетности в системе ФНС России и внебюджетного фонда;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особенности зачисления сумм страховых взносов в государственные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использование средств внебюджетных фондов;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3.4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осуществлять аналитический учет по счету 69 "Расчеты по социальному страхованию";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использовать средства внебюджетных фондов по направлениям, определенным законодательством;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выбирать для платежных поручений по видам страховых взносов соответствующие реквизиты;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оформлять платежные поручения по штрафам и пеням внебюджетных фондов;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заполнения платежных поручений по перечислению страховых взносов во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образец заполнения платежных поручений по перечислению страховых взносов во внебюджетные фонды;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4.1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результаты хозяйственной деятельности за отчетный период;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механизм отражения нарастающим итогом на счетах бухгалтерского учета данных за отчетный период;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методы обобщения информации о хозяйственных операциях организации за отчетный период;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составления шахматной таблицы и оборотно-сальдовой ведомости;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методы определения результатов хозяйственной деятельности за отчетный период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4.2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устанавливать идентичность показателей бухгалтерских отчетов;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осваивать новые формы бухгалтерской отчетности;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требования к бухгалтерской отчетности организации;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состав и содержание форм бухгалтерской отчетности;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бухгалтерский баланс, отчет о финансовых результатах как основные формы бухгалтерской отчетности;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процедуру составления приложений к бухгалтерскому балансу и отчету о финансовых результатах;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отражения изменений в учетной политике в целях бухгалтерского учета;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организации получения аудиторского заключения в случае необходимости;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сроки представления бухгалтерской отчетности;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4.3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формы налоговых деклараций по налогам и сборам в бюджет и инструкции по их заполнению;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форму статистической отчетности и инструкцию по ее заполнению;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содержание новых форм налоговых деклараций по налогам и сборам и новых инструкций по их заполнению;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4.4</w:t>
            </w:r>
            <w:r w:rsidRPr="009A3E44"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распределять объем работ по проведению финансового анализа между работниками (группами работников);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формировать аналитические отчеты и представлять их заинтересованным пользователям;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инвестиционную привлекательность экономического субъекта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методы финансового анализа;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виды и приемы финансового анализа;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процедуры анализа бухгалтерского баланса: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общей оценки структуры активов и источников их формирования по показателям баланса;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процедуры анализа ликвидности бухгалтерского баланса;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порядок расчета финансовых коэффициентов для оценки платежеспособности;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4.5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Принимать участие в составлении бизнес-плана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4.6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выявлять и оценивать риски объекта внутреннего контроля и риски собственных ошибок;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состав критериев оценки несостоятельности (банкротства) организации;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процедуры анализа показателей финансовой устойчивости;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процедуры анализа отчета о финансовых результатах;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процедуры анализа уровня и динамики финансовых результатов по показателям отчетности;</w:t>
            </w:r>
          </w:p>
        </w:tc>
      </w:tr>
      <w:tr w:rsidR="00BE0A93" w:rsidRPr="009A3E44" w:rsidTr="00FD1E96">
        <w:trPr>
          <w:trHeight w:val="212"/>
        </w:trPr>
        <w:tc>
          <w:tcPr>
            <w:tcW w:w="2694" w:type="dxa"/>
          </w:tcPr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</w:rPr>
            </w:pPr>
            <w:r w:rsidRPr="009A3E44">
              <w:rPr>
                <w:b/>
              </w:rPr>
              <w:t>ПК 4.7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</w:pPr>
            <w:r w:rsidRPr="009A3E44">
              <w:t>Проводить мониторинг устранения менеджментом выявленных нарушений, недостатков и рисков</w:t>
            </w:r>
          </w:p>
          <w:p w:rsidR="00BE0A93" w:rsidRPr="009A3E44" w:rsidRDefault="00BE0A93" w:rsidP="00FD1E96">
            <w:pPr>
              <w:suppressAutoHyphens/>
              <w:contextualSpacing/>
              <w:jc w:val="both"/>
              <w:rPr>
                <w:b/>
                <w:highlight w:val="yellow"/>
              </w:rPr>
            </w:pPr>
          </w:p>
        </w:tc>
        <w:tc>
          <w:tcPr>
            <w:tcW w:w="3786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2734" w:type="dxa"/>
          </w:tcPr>
          <w:p w:rsidR="00BE0A93" w:rsidRPr="009A3E44" w:rsidRDefault="00BE0A93" w:rsidP="00FD1E96">
            <w:pPr>
              <w:contextualSpacing/>
              <w:jc w:val="both"/>
            </w:pPr>
            <w:r w:rsidRPr="009A3E44"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BE0A93" w:rsidRPr="009A3E44" w:rsidRDefault="00BE0A93" w:rsidP="00FD1E96">
            <w:pPr>
              <w:contextualSpacing/>
              <w:jc w:val="both"/>
            </w:pPr>
            <w:r w:rsidRPr="009A3E44"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BE0A93" w:rsidRPr="009A3E44" w:rsidRDefault="00BE0A93" w:rsidP="00D547D4">
      <w:pPr>
        <w:contextualSpacing/>
        <w:jc w:val="both"/>
      </w:pPr>
    </w:p>
    <w:p w:rsidR="00BE0A93" w:rsidRPr="009A3E44" w:rsidRDefault="00BE0A93" w:rsidP="00D547D4">
      <w:pPr>
        <w:contextualSpacing/>
        <w:jc w:val="both"/>
      </w:pPr>
    </w:p>
    <w:p w:rsidR="00BE0A93" w:rsidRDefault="00BE0A93" w:rsidP="002D473B">
      <w:pPr>
        <w:spacing w:after="200" w:line="281" w:lineRule="exact"/>
        <w:jc w:val="both"/>
        <w:rPr>
          <w:b/>
          <w:bCs/>
        </w:rPr>
      </w:pPr>
      <w:r>
        <w:br w:type="page"/>
      </w:r>
      <w:r>
        <w:rPr>
          <w:b/>
          <w:bCs/>
        </w:rPr>
        <w:t>3</w:t>
      </w:r>
      <w:r w:rsidRPr="009A3E44">
        <w:rPr>
          <w:b/>
          <w:bCs/>
        </w:rPr>
        <w:t>. Объем учебной дисциплины и виды учебной работы</w:t>
      </w:r>
    </w:p>
    <w:p w:rsidR="00BE0A93" w:rsidRDefault="00BE0A93" w:rsidP="00D547D4">
      <w:pPr>
        <w:ind w:left="20"/>
        <w:jc w:val="both"/>
        <w:rPr>
          <w:b/>
          <w:bCs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8"/>
        <w:gridCol w:w="3652"/>
      </w:tblGrid>
      <w:tr w:rsidR="00BE0A93" w:rsidTr="00AF1410">
        <w:tc>
          <w:tcPr>
            <w:tcW w:w="5758" w:type="dxa"/>
            <w:vAlign w:val="bottom"/>
          </w:tcPr>
          <w:p w:rsidR="00BE0A93" w:rsidRPr="009A3E44" w:rsidRDefault="00BE0A93" w:rsidP="00AF1410">
            <w:pPr>
              <w:ind w:left="1660"/>
              <w:jc w:val="both"/>
            </w:pPr>
            <w:r w:rsidRPr="00AF1410">
              <w:rPr>
                <w:b/>
                <w:bCs/>
              </w:rPr>
              <w:t>Вид учебной работы</w:t>
            </w:r>
          </w:p>
        </w:tc>
        <w:tc>
          <w:tcPr>
            <w:tcW w:w="3652" w:type="dxa"/>
            <w:vAlign w:val="bottom"/>
          </w:tcPr>
          <w:p w:rsidR="00BE0A93" w:rsidRPr="009A3E44" w:rsidRDefault="00BE0A93" w:rsidP="00AF1410">
            <w:pPr>
              <w:jc w:val="center"/>
            </w:pPr>
            <w:r w:rsidRPr="00AF1410">
              <w:rPr>
                <w:b/>
                <w:bCs/>
                <w:w w:val="99"/>
              </w:rPr>
              <w:t>Объем часов</w:t>
            </w:r>
          </w:p>
        </w:tc>
      </w:tr>
      <w:tr w:rsidR="00BE0A93" w:rsidTr="00AF1410">
        <w:tc>
          <w:tcPr>
            <w:tcW w:w="5758" w:type="dxa"/>
            <w:vAlign w:val="bottom"/>
          </w:tcPr>
          <w:p w:rsidR="00BE0A93" w:rsidRPr="009A3E44" w:rsidRDefault="00BE0A93" w:rsidP="00AF1410">
            <w:pPr>
              <w:ind w:left="20"/>
              <w:jc w:val="both"/>
            </w:pPr>
            <w:r w:rsidRPr="00AF1410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3652" w:type="dxa"/>
          </w:tcPr>
          <w:p w:rsidR="00BE0A93" w:rsidRPr="00AF1410" w:rsidRDefault="00BE0A93" w:rsidP="00AF1410">
            <w:pPr>
              <w:jc w:val="center"/>
              <w:rPr>
                <w:b/>
              </w:rPr>
            </w:pPr>
            <w:r w:rsidRPr="00AF1410">
              <w:rPr>
                <w:b/>
              </w:rPr>
              <w:t>61</w:t>
            </w:r>
          </w:p>
        </w:tc>
      </w:tr>
      <w:tr w:rsidR="00BE0A93" w:rsidTr="00AF1410">
        <w:tc>
          <w:tcPr>
            <w:tcW w:w="5758" w:type="dxa"/>
            <w:vAlign w:val="bottom"/>
          </w:tcPr>
          <w:p w:rsidR="00BE0A93" w:rsidRPr="009A3E44" w:rsidRDefault="00BE0A93" w:rsidP="00AF1410">
            <w:pPr>
              <w:ind w:left="20"/>
              <w:jc w:val="both"/>
            </w:pPr>
            <w:r w:rsidRPr="009A3E44">
              <w:t>Обязательная аудиторная учебная нагрузка (всего)</w:t>
            </w:r>
          </w:p>
        </w:tc>
        <w:tc>
          <w:tcPr>
            <w:tcW w:w="3652" w:type="dxa"/>
          </w:tcPr>
          <w:p w:rsidR="00BE0A93" w:rsidRPr="00D45DFF" w:rsidRDefault="00BE0A93" w:rsidP="00AF1410">
            <w:pPr>
              <w:jc w:val="center"/>
            </w:pPr>
            <w:r>
              <w:t>54</w:t>
            </w:r>
          </w:p>
        </w:tc>
      </w:tr>
      <w:tr w:rsidR="00BE0A93" w:rsidTr="00AF1410">
        <w:tc>
          <w:tcPr>
            <w:tcW w:w="5758" w:type="dxa"/>
            <w:vAlign w:val="bottom"/>
          </w:tcPr>
          <w:p w:rsidR="00BE0A93" w:rsidRPr="009A3E44" w:rsidRDefault="00BE0A93" w:rsidP="00AF1410">
            <w:pPr>
              <w:ind w:left="20"/>
              <w:jc w:val="both"/>
            </w:pPr>
            <w:r w:rsidRPr="009A3E44">
              <w:t>в том числе</w:t>
            </w:r>
          </w:p>
        </w:tc>
        <w:tc>
          <w:tcPr>
            <w:tcW w:w="3652" w:type="dxa"/>
          </w:tcPr>
          <w:p w:rsidR="00BE0A93" w:rsidRPr="00D45DFF" w:rsidRDefault="00BE0A93" w:rsidP="00AF1410">
            <w:pPr>
              <w:jc w:val="center"/>
            </w:pPr>
          </w:p>
        </w:tc>
      </w:tr>
      <w:tr w:rsidR="00BE0A93" w:rsidTr="00AF1410">
        <w:tc>
          <w:tcPr>
            <w:tcW w:w="5758" w:type="dxa"/>
            <w:vAlign w:val="bottom"/>
          </w:tcPr>
          <w:p w:rsidR="00BE0A93" w:rsidRPr="009A3E44" w:rsidRDefault="00BE0A93" w:rsidP="00AF1410">
            <w:pPr>
              <w:ind w:left="20"/>
              <w:jc w:val="both"/>
            </w:pPr>
            <w:r w:rsidRPr="009A3E44">
              <w:t>теоретическое обучение</w:t>
            </w:r>
          </w:p>
        </w:tc>
        <w:tc>
          <w:tcPr>
            <w:tcW w:w="3652" w:type="dxa"/>
          </w:tcPr>
          <w:p w:rsidR="00BE0A93" w:rsidRPr="00D45DFF" w:rsidRDefault="00BE0A93" w:rsidP="00AF1410">
            <w:pPr>
              <w:jc w:val="center"/>
            </w:pPr>
            <w:r>
              <w:t>26</w:t>
            </w:r>
          </w:p>
        </w:tc>
      </w:tr>
      <w:tr w:rsidR="00BE0A93" w:rsidTr="00AF1410">
        <w:tc>
          <w:tcPr>
            <w:tcW w:w="5758" w:type="dxa"/>
            <w:vAlign w:val="bottom"/>
          </w:tcPr>
          <w:p w:rsidR="00BE0A93" w:rsidRPr="009A3E44" w:rsidRDefault="00BE0A93" w:rsidP="00AF1410">
            <w:pPr>
              <w:ind w:left="20"/>
              <w:jc w:val="both"/>
            </w:pPr>
            <w:r w:rsidRPr="009A3E44">
              <w:t>практические занятия</w:t>
            </w:r>
          </w:p>
        </w:tc>
        <w:tc>
          <w:tcPr>
            <w:tcW w:w="3652" w:type="dxa"/>
          </w:tcPr>
          <w:p w:rsidR="00BE0A93" w:rsidRPr="00D45DFF" w:rsidRDefault="00BE0A93" w:rsidP="00AF1410">
            <w:pPr>
              <w:jc w:val="center"/>
            </w:pPr>
            <w:r>
              <w:t>28</w:t>
            </w:r>
          </w:p>
        </w:tc>
      </w:tr>
      <w:tr w:rsidR="00BE0A93" w:rsidTr="00AF1410">
        <w:tc>
          <w:tcPr>
            <w:tcW w:w="5758" w:type="dxa"/>
            <w:vAlign w:val="bottom"/>
          </w:tcPr>
          <w:p w:rsidR="00BE0A93" w:rsidRPr="009A3E44" w:rsidRDefault="00BE0A93" w:rsidP="00AF1410">
            <w:pPr>
              <w:ind w:left="20"/>
              <w:jc w:val="both"/>
            </w:pPr>
            <w:r w:rsidRPr="00AF1410">
              <w:rPr>
                <w:i/>
                <w:iCs/>
              </w:rPr>
              <w:t>Самостоятельная работа</w:t>
            </w:r>
          </w:p>
        </w:tc>
        <w:tc>
          <w:tcPr>
            <w:tcW w:w="3652" w:type="dxa"/>
          </w:tcPr>
          <w:p w:rsidR="00BE0A93" w:rsidRPr="00D45DFF" w:rsidRDefault="00BE0A93" w:rsidP="00AF1410">
            <w:pPr>
              <w:jc w:val="center"/>
            </w:pPr>
            <w:r>
              <w:t>7</w:t>
            </w:r>
          </w:p>
        </w:tc>
      </w:tr>
      <w:tr w:rsidR="00BE0A93" w:rsidTr="00AF1410">
        <w:tc>
          <w:tcPr>
            <w:tcW w:w="5758" w:type="dxa"/>
          </w:tcPr>
          <w:p w:rsidR="00BE0A93" w:rsidRDefault="00BE0A93" w:rsidP="00AF1410">
            <w:pPr>
              <w:jc w:val="both"/>
            </w:pPr>
          </w:p>
        </w:tc>
        <w:tc>
          <w:tcPr>
            <w:tcW w:w="3652" w:type="dxa"/>
          </w:tcPr>
          <w:p w:rsidR="00BE0A93" w:rsidRPr="00D45DFF" w:rsidRDefault="00BE0A93" w:rsidP="00AF1410">
            <w:pPr>
              <w:jc w:val="center"/>
            </w:pPr>
          </w:p>
        </w:tc>
      </w:tr>
    </w:tbl>
    <w:p w:rsidR="00BE0A93" w:rsidRPr="009F7D76" w:rsidRDefault="00BE0A93" w:rsidP="009F7D76">
      <w:pPr>
        <w:jc w:val="both"/>
        <w:rPr>
          <w:sz w:val="28"/>
          <w:szCs w:val="28"/>
        </w:rPr>
      </w:pPr>
    </w:p>
    <w:sectPr w:rsidR="00BE0A93" w:rsidRPr="009F7D76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426A5AA0"/>
    <w:lvl w:ilvl="0" w:tplc="25A200E0">
      <w:start w:val="1"/>
      <w:numFmt w:val="decimal"/>
      <w:lvlText w:val="%1."/>
      <w:lvlJc w:val="left"/>
      <w:rPr>
        <w:rFonts w:cs="Times New Roman"/>
        <w:b/>
      </w:rPr>
    </w:lvl>
    <w:lvl w:ilvl="1" w:tplc="9DA2FD3A">
      <w:numFmt w:val="decimal"/>
      <w:lvlText w:val=""/>
      <w:lvlJc w:val="left"/>
      <w:rPr>
        <w:rFonts w:cs="Times New Roman"/>
      </w:rPr>
    </w:lvl>
    <w:lvl w:ilvl="2" w:tplc="3A703D0A">
      <w:numFmt w:val="decimal"/>
      <w:lvlText w:val=""/>
      <w:lvlJc w:val="left"/>
      <w:rPr>
        <w:rFonts w:cs="Times New Roman"/>
      </w:rPr>
    </w:lvl>
    <w:lvl w:ilvl="3" w:tplc="22324C3C">
      <w:numFmt w:val="decimal"/>
      <w:lvlText w:val=""/>
      <w:lvlJc w:val="left"/>
      <w:rPr>
        <w:rFonts w:cs="Times New Roman"/>
      </w:rPr>
    </w:lvl>
    <w:lvl w:ilvl="4" w:tplc="FFC8404A">
      <w:numFmt w:val="decimal"/>
      <w:lvlText w:val=""/>
      <w:lvlJc w:val="left"/>
      <w:rPr>
        <w:rFonts w:cs="Times New Roman"/>
      </w:rPr>
    </w:lvl>
    <w:lvl w:ilvl="5" w:tplc="BD02974E">
      <w:numFmt w:val="decimal"/>
      <w:lvlText w:val=""/>
      <w:lvlJc w:val="left"/>
      <w:rPr>
        <w:rFonts w:cs="Times New Roman"/>
      </w:rPr>
    </w:lvl>
    <w:lvl w:ilvl="6" w:tplc="217A9330">
      <w:numFmt w:val="decimal"/>
      <w:lvlText w:val=""/>
      <w:lvlJc w:val="left"/>
      <w:rPr>
        <w:rFonts w:cs="Times New Roman"/>
      </w:rPr>
    </w:lvl>
    <w:lvl w:ilvl="7" w:tplc="14F2F1E4">
      <w:numFmt w:val="decimal"/>
      <w:lvlText w:val=""/>
      <w:lvlJc w:val="left"/>
      <w:rPr>
        <w:rFonts w:cs="Times New Roman"/>
      </w:rPr>
    </w:lvl>
    <w:lvl w:ilvl="8" w:tplc="3CA4EAB2">
      <w:numFmt w:val="decimal"/>
      <w:lvlText w:val=""/>
      <w:lvlJc w:val="left"/>
      <w:rPr>
        <w:rFonts w:cs="Times New Roman"/>
      </w:rPr>
    </w:lvl>
  </w:abstractNum>
  <w:abstractNum w:abstractNumId="1">
    <w:nsid w:val="1D8C2AE8"/>
    <w:multiLevelType w:val="multilevel"/>
    <w:tmpl w:val="7DF49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3491B32"/>
    <w:multiLevelType w:val="hybridMultilevel"/>
    <w:tmpl w:val="FB9AFA76"/>
    <w:lvl w:ilvl="0" w:tplc="2436928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E9F"/>
    <w:rsid w:val="002D473B"/>
    <w:rsid w:val="002E5D26"/>
    <w:rsid w:val="00400A46"/>
    <w:rsid w:val="005C2E9F"/>
    <w:rsid w:val="005C3C38"/>
    <w:rsid w:val="00723D7F"/>
    <w:rsid w:val="007B5058"/>
    <w:rsid w:val="00955546"/>
    <w:rsid w:val="0095758D"/>
    <w:rsid w:val="009A3E44"/>
    <w:rsid w:val="009F7D76"/>
    <w:rsid w:val="00A20A8B"/>
    <w:rsid w:val="00AA206B"/>
    <w:rsid w:val="00AF1410"/>
    <w:rsid w:val="00BE0A93"/>
    <w:rsid w:val="00C85D94"/>
    <w:rsid w:val="00CE3506"/>
    <w:rsid w:val="00D45DFF"/>
    <w:rsid w:val="00D547D4"/>
    <w:rsid w:val="00DC7811"/>
    <w:rsid w:val="00F16A9C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C2E9F"/>
    <w:rPr>
      <w:rFonts w:ascii="Times New Roman" w:hAnsi="Times New Roman"/>
      <w:sz w:val="12"/>
    </w:rPr>
  </w:style>
  <w:style w:type="paragraph" w:styleId="ListParagraph">
    <w:name w:val="List Paragraph"/>
    <w:basedOn w:val="Normal"/>
    <w:uiPriority w:val="99"/>
    <w:qFormat/>
    <w:rsid w:val="005C2E9F"/>
    <w:pPr>
      <w:ind w:left="720"/>
      <w:contextualSpacing/>
    </w:pPr>
  </w:style>
  <w:style w:type="table" w:styleId="TableGrid">
    <w:name w:val="Table Grid"/>
    <w:basedOn w:val="TableNormal"/>
    <w:uiPriority w:val="99"/>
    <w:rsid w:val="00D547D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19</Pages>
  <Words>4743</Words>
  <Characters>27037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ZhitnikNS</dc:creator>
  <cp:keywords/>
  <dc:description/>
  <cp:lastModifiedBy>Владимир</cp:lastModifiedBy>
  <cp:revision>6</cp:revision>
  <dcterms:created xsi:type="dcterms:W3CDTF">2019-09-05T11:02:00Z</dcterms:created>
  <dcterms:modified xsi:type="dcterms:W3CDTF">2019-09-28T21:06:00Z</dcterms:modified>
</cp:coreProperties>
</file>